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EC506E">
              <w:rPr>
                <w:rFonts w:ascii="Arial" w:hAnsi="Arial" w:cs="Arial"/>
                <w:b/>
                <w:sz w:val="28"/>
                <w:szCs w:val="28"/>
              </w:rPr>
              <w:t>Přístroje pro cílenou radiofrekvenční terapii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C0380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7B776D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11</cp:revision>
  <dcterms:created xsi:type="dcterms:W3CDTF">2019-06-13T12:09:00Z</dcterms:created>
  <dcterms:modified xsi:type="dcterms:W3CDTF">2020-06-11T12:12:00Z</dcterms:modified>
</cp:coreProperties>
</file>